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B3A5C"/>
          <w:sz w:val="56"/>
          <w:szCs w:val="56"/>
        </w:rPr>
        <w:t xml:space="preserve">REMEMBER FORWARD</w:t>
      </w:r>
    </w:p>
    <w:p>
      <w:pPr>
        <w:spacing w:after="40"/>
        <w:jc w:val="center"/>
      </w:pPr>
      <w:r>
        <w:rPr>
          <w:rFonts w:ascii="Arial" w:cs="Arial" w:eastAsia="Arial" w:hAnsi="Arial"/>
          <w:b/>
          <w:bCs/>
          <w:color w:val="0D7377"/>
          <w:sz w:val="40"/>
          <w:szCs w:val="40"/>
        </w:rPr>
        <w:t xml:space="preserve">TIER 4 — GOVERNANCE &amp; PHILOSOPHY</w:t>
      </w:r>
    </w:p>
    <w:p>
      <w:pPr>
        <w:spacing w:after="40"/>
        <w:jc w:val="center"/>
      </w:pPr>
      <w:r>
        <w:rPr>
          <w:rFonts w:ascii="Arial" w:cs="Arial" w:eastAsia="Arial" w:hAnsi="Arial"/>
          <w:b/>
          <w:bCs/>
          <w:color w:val="4A5568"/>
          <w:sz w:val="24"/>
          <w:szCs w:val="24"/>
        </w:rPr>
        <w:t xml:space="preserve">How to build systems that serve people instead of exploiting them</w:t>
      </w:r>
    </w:p>
    <w:p>
      <w:pPr>
        <w:spacing w:before="0" w:after="60"/>
      </w:pPr>
    </w:p>
    <w:p>
      <w:pPr>
        <w:pBdr>
          <w:left w:val="single" w:color="0D7377" w:sz="12" w:space="8"/>
        </w:pBdr>
        <w:shd w:fill="D0F0EE" w:val="clear"/>
        <w:spacing w:before="100" w:after="100"/>
        <w:ind w:left="360"/>
      </w:pPr>
      <w:r>
        <w:rPr>
          <w:rFonts w:ascii="Arial" w:cs="Arial" w:eastAsia="Arial" w:hAnsi="Arial"/>
          <w:i/>
          <w:iCs/>
          <w:color w:val="3A3A3A"/>
          <w:sz w:val="21"/>
          <w:szCs w:val="21"/>
        </w:rPr>
        <w:t xml:space="preserve">See Plate 5 (Governance &amp; Ethics) for the engraved plate version.</w:t>
      </w: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The Corruption Sequence</w:t>
      </w:r>
    </w:p>
    <w:p>
      <w:pPr>
        <w:spacing w:before="60" w:after="100"/>
      </w:pPr>
      <w:r>
        <w:rPr>
          <w:rFonts w:ascii="Arial" w:cs="Arial" w:eastAsia="Arial" w:hAnsi="Arial"/>
          <w:color w:val="1C1C1C"/>
          <w:sz w:val="22"/>
          <w:szCs w:val="22"/>
        </w:rPr>
        <w:t xml:space="preserve">Every governance system that has failed in recorded history followed recognizable stages. This sequence is not inevitable — but it is extraordinarily common. The most important thing a rebuilding civilization can do is learn to recognize these stages and intervene before Stage 3.</w:t>
      </w:r>
    </w:p>
    <w:p>
      <w:pPr>
        <w:spacing w:before="0"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000"/>
        <w:gridCol w:w="2800"/>
        <w:gridCol w:w="3960"/>
      </w:tblGrid>
      <w:tr>
        <w:trPr>
          <w:tblHeader/>
        </w:trPr>
        <w:tc>
          <w:tcPr>
            <w:tcW w:type="dxa" w:w="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Stage</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2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Signs</w:t>
            </w:r>
          </w:p>
        </w:tc>
        <w:tc>
          <w:tcPr>
            <w:tcW w:type="dxa" w:w="39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Intervention</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Crisis Legitimacy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Leader solves crisis, granted broad emergency powers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Sunset all emergency powers by law</w:t>
            </w:r>
          </w:p>
        </w:tc>
      </w:tr>
      <w:tr>
        <w:tc>
          <w:tcPr>
            <w:tcW w:type="dxa" w:w="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Normalization</w:t>
            </w:r>
          </w:p>
        </w:tc>
        <w:tc>
          <w:tcPr>
            <w:tcW w:type="dxa" w:w="2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Broad powers outlast the crisis — 'still needed for security'</w:t>
            </w:r>
          </w:p>
        </w:tc>
        <w:tc>
          <w:tcPr>
            <w:tcW w:type="dxa" w:w="39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Enforce term limits and sunset clauses</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3 ← ACT HERE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Institutional Capture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Loyalists fill courts, military, media, oversight bodies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Remove captured officials, restore independence</w:t>
            </w:r>
          </w:p>
        </w:tc>
      </w:tr>
      <w:tr>
        <w:tc>
          <w:tcPr>
            <w:tcW w:type="dxa" w:w="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4</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Information Control</w:t>
            </w:r>
          </w:p>
        </w:tc>
        <w:tc>
          <w:tcPr>
            <w:tcW w:type="dxa" w:w="2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History rewritten, critics silenced, one permitted narrative</w:t>
            </w:r>
          </w:p>
        </w:tc>
        <w:tc>
          <w:tcPr>
            <w:tcW w:type="dxa" w:w="39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Protect and fund independent press</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Wealth Concentration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Allies prosper, majority conditions deteriorate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Enforce progressive taxation, anti-monopoly rules</w:t>
            </w:r>
          </w:p>
        </w:tc>
      </w:tr>
      <w:tr>
        <w:tc>
          <w:tcPr>
            <w:tcW w:type="dxa" w:w="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6</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External Enemy</w:t>
            </w:r>
          </w:p>
        </w:tc>
        <w:tc>
          <w:tcPr>
            <w:tcW w:type="dxa" w:w="2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Scapegoat identified, war or persecution follows</w:t>
            </w:r>
          </w:p>
        </w:tc>
        <w:tc>
          <w:tcPr>
            <w:tcW w:type="dxa" w:w="39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Refuse to support persecution, protect minorities</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7</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Collapse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Revolution replaces system, often repeating the cycle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Education: teach this sequence in schools</w:t>
            </w:r>
          </w:p>
        </w:tc>
      </w:tr>
    </w:tbl>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The Golden Rule Across Traditions</w:t>
      </w:r>
    </w:p>
    <w:p>
      <w:pPr>
        <w:spacing w:before="60" w:after="100"/>
      </w:pPr>
      <w:r>
        <w:rPr>
          <w:rFonts w:ascii="Arial" w:cs="Arial" w:eastAsia="Arial" w:hAnsi="Arial"/>
          <w:color w:val="1C1C1C"/>
          <w:sz w:val="22"/>
          <w:szCs w:val="22"/>
        </w:rPr>
        <w:t xml:space="preserve">The same ethical principle was discovered independently in every major human tradition. Its universality is the evidence for its truth.</w:t>
      </w:r>
    </w:p>
    <w:p>
      <w:pPr>
        <w:spacing w:before="0" w:after="40"/>
      </w:pP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6000"/>
      </w:tblGrid>
      <w:tr>
        <w:trPr>
          <w:tblHeader/>
        </w:trP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Tradition</w:t>
            </w:r>
          </w:p>
        </w:tc>
        <w:tc>
          <w:tcPr>
            <w:tcW w:type="dxa" w:w="1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Approximate Date</w:t>
            </w:r>
          </w:p>
        </w:tc>
        <w:tc>
          <w:tcPr>
            <w:tcW w:type="dxa" w:w="6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Formulation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Confucianism</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~500 BCE</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Do not impose on others what you do not wish for yourself.</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Buddhism</w:t>
            </w:r>
          </w:p>
        </w:tc>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~500 BCE</w:t>
            </w:r>
          </w:p>
        </w:tc>
        <w:tc>
          <w:tcPr>
            <w:tcW w:type="dxa" w:w="6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Hurt not others in ways that you yourself would find hurtful.</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Judaism</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~400 BCE</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What is hateful to you, do not do to your neighbor.</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Hinduism</w:t>
            </w:r>
          </w:p>
        </w:tc>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~200 BCE</w:t>
            </w:r>
          </w:p>
        </w:tc>
        <w:tc>
          <w:tcPr>
            <w:tcW w:type="dxa" w:w="6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One should never do to another that which one would regard as injurious to oneself.</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Christianity</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~30 CE</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Do unto others as you would have them do unto you.</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Islam</w:t>
            </w:r>
          </w:p>
        </w:tc>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~620 CE</w:t>
            </w:r>
          </w:p>
        </w:tc>
        <w:tc>
          <w:tcPr>
            <w:tcW w:type="dxa" w:w="6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None of you truly believes until he loves for his brother what he loves for himself.</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Ubuntu (Africa)</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Oral tradition</w:t>
            </w:r>
          </w:p>
        </w:tc>
        <w:tc>
          <w:tcPr>
            <w:tcW w:type="dxa" w:w="6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I am because we are.</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Jainism</w:t>
            </w:r>
          </w:p>
        </w:tc>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~600 BCE</w:t>
            </w:r>
          </w:p>
        </w:tc>
        <w:tc>
          <w:tcPr>
            <w:tcW w:type="dxa" w:w="6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One should treat all creatures in the world as one would like to be treated.</w:t>
            </w:r>
          </w:p>
        </w:tc>
      </w:tr>
    </w:tbl>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Non-Negotiable Rights</w:t>
      </w:r>
    </w:p>
    <w:p>
      <w:pPr>
        <w:spacing w:before="60" w:after="100"/>
      </w:pPr>
      <w:r>
        <w:rPr>
          <w:rFonts w:ascii="Arial" w:cs="Arial" w:eastAsia="Arial" w:hAnsi="Arial"/>
          <w:color w:val="1C1C1C"/>
          <w:sz w:val="22"/>
          <w:szCs w:val="22"/>
        </w:rPr>
        <w:t xml:space="preserve">These rights are not negotiable by majority vote, emergency decree, or leadership decision. They are the floor beneath which no governance system may go. A society that violates these rights is not yet civilized regardless of its technological advancement.</w:t>
      </w:r>
    </w:p>
    <w:p>
      <w:pPr>
        <w:spacing w:before="0" w:after="40"/>
      </w:pPr>
    </w:p>
    <w:p>
      <w:pPr>
        <w:pStyle w:val="ListParagraph"/>
        <w:numPr>
          <w:ilvl w:val="0"/>
          <w:numId w:val="2"/>
        </w:numPr>
        <w:spacing w:before="40" w:after="40"/>
      </w:pPr>
      <w:r>
        <w:rPr>
          <w:rFonts w:ascii="Arial" w:cs="Arial" w:eastAsia="Arial" w:hAnsi="Arial"/>
          <w:color w:val="1C1C1C"/>
          <w:sz w:val="22"/>
          <w:szCs w:val="22"/>
        </w:rPr>
        <w:t xml:space="preserve">Freedom of speech and press — bad governance requires silence to survive. A government that fears criticism is a government that knows it is failing.</w:t>
      </w:r>
    </w:p>
    <w:p>
      <w:pPr>
        <w:pStyle w:val="ListParagraph"/>
        <w:numPr>
          <w:ilvl w:val="0"/>
          <w:numId w:val="2"/>
        </w:numPr>
        <w:spacing w:before="40" w:after="40"/>
      </w:pPr>
      <w:r>
        <w:rPr>
          <w:rFonts w:ascii="Arial" w:cs="Arial" w:eastAsia="Arial" w:hAnsi="Arial"/>
          <w:color w:val="1C1C1C"/>
          <w:sz w:val="22"/>
          <w:szCs w:val="22"/>
        </w:rPr>
        <w:t xml:space="preserve">Freedom of assembly — people cannot resist tyranny if they cannot meet.</w:t>
      </w:r>
    </w:p>
    <w:p>
      <w:pPr>
        <w:pStyle w:val="ListParagraph"/>
        <w:numPr>
          <w:ilvl w:val="0"/>
          <w:numId w:val="2"/>
        </w:numPr>
        <w:spacing w:before="40" w:after="40"/>
      </w:pPr>
      <w:r>
        <w:rPr>
          <w:rFonts w:ascii="Arial" w:cs="Arial" w:eastAsia="Arial" w:hAnsi="Arial"/>
          <w:color w:val="1C1C1C"/>
          <w:sz w:val="22"/>
          <w:szCs w:val="22"/>
        </w:rPr>
        <w:t xml:space="preserve">Equal treatment under law — unequal law is formalized power, not justice.</w:t>
      </w:r>
    </w:p>
    <w:p>
      <w:pPr>
        <w:pStyle w:val="ListParagraph"/>
        <w:numPr>
          <w:ilvl w:val="0"/>
          <w:numId w:val="2"/>
        </w:numPr>
        <w:spacing w:before="40" w:after="40"/>
      </w:pPr>
      <w:r>
        <w:rPr>
          <w:rFonts w:ascii="Arial" w:cs="Arial" w:eastAsia="Arial" w:hAnsi="Arial"/>
          <w:color w:val="1C1C1C"/>
          <w:sz w:val="22"/>
          <w:szCs w:val="22"/>
        </w:rPr>
        <w:t xml:space="preserve">Presumption of innocence — guilt must be proved, never assumed.</w:t>
      </w:r>
    </w:p>
    <w:p>
      <w:pPr>
        <w:pStyle w:val="ListParagraph"/>
        <w:numPr>
          <w:ilvl w:val="0"/>
          <w:numId w:val="2"/>
        </w:numPr>
        <w:spacing w:before="40" w:after="40"/>
      </w:pPr>
      <w:r>
        <w:rPr>
          <w:rFonts w:ascii="Arial" w:cs="Arial" w:eastAsia="Arial" w:hAnsi="Arial"/>
          <w:color w:val="1C1C1C"/>
          <w:sz w:val="22"/>
          <w:szCs w:val="22"/>
        </w:rPr>
        <w:t xml:space="preserve">Prohibition of torture — every institution that adopted it was corrupted by it, without exception in recorded history.</w:t>
      </w:r>
    </w:p>
    <w:p>
      <w:pPr>
        <w:pStyle w:val="ListParagraph"/>
        <w:numPr>
          <w:ilvl w:val="0"/>
          <w:numId w:val="2"/>
        </w:numPr>
        <w:spacing w:before="40" w:after="40"/>
      </w:pPr>
      <w:r>
        <w:rPr>
          <w:rFonts w:ascii="Arial" w:cs="Arial" w:eastAsia="Arial" w:hAnsi="Arial"/>
          <w:color w:val="1C1C1C"/>
          <w:sz w:val="22"/>
          <w:szCs w:val="22"/>
        </w:rPr>
        <w:t xml:space="preserve">Right to basic sustenance — the desperate cannot govern themselves. A community that allows preventable starvation is not yet governing.</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Proven Governance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800"/>
        <w:gridCol w:w="2400"/>
        <w:gridCol w:w="3560"/>
      </w:tblGrid>
      <w:tr>
        <w:trPr>
          <w:tblHeader/>
        </w:trPr>
        <w:tc>
          <w:tcPr>
            <w:tcW w:type="dxa" w:w="1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Model</w:t>
            </w:r>
          </w:p>
        </w:tc>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Origin</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Key Principle</w:t>
            </w:r>
          </w:p>
        </w:tc>
        <w:tc>
          <w:tcPr>
            <w:tcW w:type="dxa" w:w="3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Why It Works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Sortition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Athens, ~500 BCE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Select officials by lottery, not election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Prevents wealth from purchasing office. Random selection produces representative governance.</w:t>
            </w:r>
          </w:p>
        </w:tc>
      </w:tr>
      <w:tr>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Seven-Generation Thinking</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Haudenosaunee (Iroquois)</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Evaluate decisions for impact on the seventh generation (~175 years)</w:t>
            </w:r>
          </w:p>
        </w:tc>
        <w:tc>
          <w:tcPr>
            <w:tcW w:type="dxa" w:w="3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Forces long-term thinking. Prevents short-term extraction.</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Subsidiarity</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Swiss federalism</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Decide at the lowest capable level. Citizens can veto laws by vote.</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Distributes power. Keeps decisions close to those affected.</w:t>
            </w:r>
          </w:p>
        </w:tc>
      </w:tr>
      <w:tr>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Worker Ownership</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Mondragon Cooperative (1956)</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One worker, one vote. Maximum pay ratio 6:1</w:t>
            </w:r>
          </w:p>
        </w:tc>
        <w:tc>
          <w:tcPr>
            <w:tcW w:type="dxa" w:w="3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Ran successfully for 60+ years with 80,000 workers. Prevents extreme wealth concentration.</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Restorative Justice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Multiple indigenous traditions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Circle of harmed, harmer, and community. Ask: who was harmed? What do they need?</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Heals community relationships. Reduces recidivism compared to punitive systems.</w:t>
            </w:r>
          </w:p>
        </w:tc>
      </w:tr>
    </w:tbl>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Wealth and Power</w:t>
      </w:r>
    </w:p>
    <w:p>
      <w:pPr>
        <w:spacing w:before="60" w:after="100"/>
      </w:pPr>
      <w:r>
        <w:rPr>
          <w:rFonts w:ascii="Arial" w:cs="Arial" w:eastAsia="Arial" w:hAnsi="Arial"/>
          <w:color w:val="1C1C1C"/>
          <w:sz w:val="22"/>
          <w:szCs w:val="22"/>
        </w:rPr>
        <w:t xml:space="preserve">Economic power converts to political power with high reliability. Extreme inequality in wealth consistently produces extreme inequality in political influence, which produces governance in service of the wealthy rather than the community. This is not a moral judgment — it is a documented pattern across civilizations.</w:t>
      </w:r>
    </w:p>
    <w:p>
      <w:pPr>
        <w:spacing w:before="0" w:after="40"/>
      </w:pPr>
    </w:p>
    <w:p>
      <w:pPr>
        <w:spacing w:before="60" w:after="100"/>
      </w:pPr>
      <w:r>
        <w:rPr>
          <w:rFonts w:ascii="Arial" w:cs="Arial" w:eastAsia="Arial" w:hAnsi="Arial"/>
          <w:color w:val="1C1C1C"/>
          <w:sz w:val="22"/>
          <w:szCs w:val="22"/>
        </w:rPr>
        <w:t xml:space="preserve">Effective governance systems include mechanisms that prevent extreme wealth concentration: progressive taxation, anti-monopoly rules, inheritance limits, commons protection, and worker ownership requirements. None of these require perfect equality — they require that no individual or group accumulates enough wealth to purchase the governance system itself.</w:t>
      </w:r>
    </w:p>
    <w:p>
      <w:pPr>
        <w:spacing w:before="0" w:after="60"/>
      </w:pPr>
    </w:p>
    <w:p>
      <w:pPr>
        <w:pBdr>
          <w:bottom w:val="single" w:color="1B3A5C" w:sz="4" w:space="2"/>
        </w:pBdr>
        <w:spacing w:before="80" w:after="80"/>
      </w:pPr>
    </w:p>
    <w:p>
      <w:pPr>
        <w:spacing w:before="0" w:after="60"/>
      </w:pPr>
    </w:p>
    <w:p>
      <w:pPr>
        <w:spacing w:before="80" w:after="40"/>
        <w:jc w:val="center"/>
      </w:pPr>
      <w:r>
        <w:rPr>
          <w:rFonts w:ascii="Arial" w:cs="Arial" w:eastAsia="Arial" w:hAnsi="Arial"/>
          <w:b/>
          <w:bCs/>
          <w:color w:val="1B3A5C"/>
          <w:sz w:val="26"/>
          <w:szCs w:val="26"/>
        </w:rPr>
        <w:t xml:space="preserve">Remember Forward — The Patient Message</w:t>
      </w:r>
    </w:p>
    <w:p>
      <w:pPr>
        <w:spacing w:after="40"/>
        <w:jc w:val="center"/>
      </w:pPr>
      <w:r>
        <w:rPr>
          <w:rFonts w:ascii="Arial" w:cs="Arial" w:eastAsia="Arial" w:hAnsi="Arial"/>
          <w:i/>
          <w:iCs/>
          <w:color w:val="4A5568"/>
          <w:sz w:val="22"/>
          <w:szCs w:val="22"/>
        </w:rPr>
        <w:t xml:space="preserve">Buy it. Build it. Bury it. For someone you will never meet.</w:t>
      </w:r>
    </w:p>
    <w:p>
      <w:pPr>
        <w:spacing w:after="0"/>
        <w:jc w:val="center"/>
      </w:pPr>
      <w:r>
        <w:rPr>
          <w:rFonts w:ascii="Arial" w:cs="Arial" w:eastAsia="Arial" w:hAnsi="Arial"/>
          <w:b/>
          <w:bCs/>
          <w:color w:val="0D7377"/>
          <w:sz w:val="20"/>
          <w:szCs w:val="20"/>
        </w:rPr>
        <w:t xml:space="preserve">CC BY-SA 4.0 — All materials free to use, share, and adapt.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jc w:val="center"/>
    </w:pPr>
    <w:r>
      <w:rPr>
        <w:rFonts w:ascii="Arial" w:cs="Arial" w:eastAsia="Arial" w:hAnsi="Arial"/>
        <w:i/>
        <w:iCs/>
        <w:color w:val="6C6C6C"/>
        <w:sz w:val="18"/>
        <w:szCs w:val="18"/>
      </w:rPr>
      <w:t xml:space="preserve">Buy it. Build it. Bury it. For someone you will never meet.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4" w:space="4"/>
      </w:pBdr>
    </w:pPr>
    <w:r>
      <w:rPr>
        <w:rFonts w:ascii="Arial" w:cs="Arial" w:eastAsia="Arial" w:hAnsi="Arial"/>
        <w:b/>
        <w:bCs/>
        <w:color w:val="1B3A5C"/>
        <w:sz w:val="18"/>
        <w:szCs w:val="18"/>
      </w:rPr>
      <w:t xml:space="preserve">REMEMBER FORWARD — THE PATIENT MESSAGE</w:t>
    </w:r>
    <w:r>
      <w:rPr>
        <w:rFonts w:ascii="Arial" w:cs="Arial" w:eastAsia="Arial" w:hAnsi="Arial"/>
        <w:color w:val="6C6C6C"/>
        <w:sz w:val="18"/>
        <w:szCs w:val="18"/>
      </w:rPr>
      <w:t xml:space="preserve">   —   undefined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80"/>
      <w:outlineLvl w:val="1"/>
    </w:pPr>
    <w:rPr>
      <w:rFonts w:ascii="Arial" w:cs="Arial" w:eastAsia="Arial" w:hAnsi="Arial"/>
      <w:b/>
      <w:bCs/>
      <w:color w:val="0D7377"/>
      <w:sz w:val="28"/>
      <w:szCs w:val="28"/>
    </w:rPr>
  </w:style>
  <w:style w:type="paragraph" w:styleId="Heading3">
    <w:name w:val="Heading 3"/>
    <w:basedOn w:val="Normal"/>
    <w:next w:val="Normal"/>
    <w:qFormat/>
    <w:pPr>
      <w:spacing w:before="200" w:after="60"/>
      <w:outlineLvl w:val="2"/>
    </w:pPr>
    <w:rPr>
      <w:rFonts w:ascii="Arial" w:cs="Arial" w:eastAsia="Arial" w:hAnsi="Arial"/>
      <w:b/>
      <w:bCs/>
      <w:color w:val="C47A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2026-04-04T00:30:04.379Z</dcterms:created>
  <dcterms:modified xsi:type="dcterms:W3CDTF">2026-04-04T00:30:04.380Z</dcterms:modified>
</cp:coreProperties>
</file>

<file path=docProps/custom.xml><?xml version="1.0" encoding="utf-8"?>
<Properties xmlns="http://schemas.openxmlformats.org/officeDocument/2006/custom-properties" xmlns:vt="http://schemas.openxmlformats.org/officeDocument/2006/docPropsVTypes"/>
</file>