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5 — ADVANCED KNOWLEDGE</w:t>
      </w:r>
    </w:p>
    <w:p>
      <w:pPr>
        <w:spacing w:after="40"/>
        <w:jc w:val="center"/>
      </w:pPr>
      <w:r>
        <w:rPr>
          <w:rFonts w:ascii="Arial" w:cs="Arial" w:eastAsia="Arial" w:hAnsi="Arial"/>
          <w:b/>
          <w:bCs/>
          <w:color w:val="4A5568"/>
          <w:sz w:val="24"/>
          <w:szCs w:val="24"/>
        </w:rPr>
        <w:t xml:space="preserve">The scientific, historical, and psychological understanding that enables sophisticated civilization</w:t>
      </w:r>
    </w:p>
    <w:p>
      <w:pPr>
        <w:spacing w:before="0" w:after="60"/>
      </w:pPr>
    </w:p>
    <w:p>
      <w:pPr>
        <w:pBdr>
          <w:left w:val="single" w:color="C47A1E" w:sz="12" w:space="8"/>
        </w:pBdr>
        <w:shd w:fill="FEF3E0" w:val="clear"/>
        <w:spacing w:before="100" w:after="100"/>
        <w:ind w:left="360"/>
      </w:pPr>
      <w:r>
        <w:rPr>
          <w:rFonts w:ascii="Arial" w:cs="Arial" w:eastAsia="Arial" w:hAnsi="Arial"/>
          <w:i/>
          <w:iCs/>
          <w:color w:val="3A3A3A"/>
          <w:sz w:val="21"/>
          <w:szCs w:val="21"/>
        </w:rPr>
        <w:t xml:space="preserve">Tier 5 is for communities that have achieved stability. These subjects require leisure, literacy, and surplus. Do not attempt Tier 5 until Tiers 1 through 4 are functioning.</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Germ Theory and Medicine</w:t>
      </w:r>
    </w:p>
    <w:p>
      <w:pPr>
        <w:spacing w:before="60" w:after="100"/>
      </w:pPr>
      <w:r>
        <w:rPr>
          <w:rFonts w:ascii="Arial" w:cs="Arial" w:eastAsia="Arial" w:hAnsi="Arial"/>
          <w:color w:val="1C1C1C"/>
          <w:sz w:val="22"/>
          <w:szCs w:val="22"/>
        </w:rPr>
        <w:t xml:space="preserve">Specific microorganisms cause specific diseases. This single insight, once understood and applied, reduces mortality from infectious disease by 50 to 90%. It was the most important medical advance in human history and can be rediscovered with a microscope and careful observation.</w:t>
      </w:r>
    </w:p>
    <w:p>
      <w:pPr>
        <w:spacing w:before="0" w:after="40"/>
      </w:pPr>
    </w:p>
    <w:tbl>
      <w:tblPr>
        <w:tblW w:type="dxa" w:w="10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800"/>
        <w:gridCol w:w="356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Disease Category</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Causative Agent</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Primary Prevention</w:t>
            </w:r>
          </w:p>
        </w:tc>
        <w:tc>
          <w:tcPr>
            <w:tcW w:type="dxa" w:w="3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Treatment Principle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Bacterial infection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Bacteria (single-celled organisms)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Hygiene, clean water, cooked food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Antibiotics (natural: garlic, honey, certain molds)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Viral infection</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Virus (submicroscopic)</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Vaccination, quarantine, hygiene</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Supportive care. Immune system must fight.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Parasitic infection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Worms, protozoa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Clean water, cooked meat, sanitation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Antiparasitic herbs (wormwood, black walnut)</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Fungal infection</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Fungi</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Dryness, cleanliness</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Antifungal herbs (garlic, tea tree, neem)</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Selective Breeding and Genetics</w:t>
      </w:r>
    </w:p>
    <w:p>
      <w:pPr>
        <w:spacing w:before="60" w:after="100"/>
      </w:pPr>
      <w:r>
        <w:rPr>
          <w:rFonts w:ascii="Arial" w:cs="Arial" w:eastAsia="Arial" w:hAnsi="Arial"/>
          <w:color w:val="1C1C1C"/>
          <w:sz w:val="22"/>
          <w:szCs w:val="22"/>
        </w:rPr>
        <w:t xml:space="preserve">Organisms pass characteristics to offspring. By selecting which individuals reproduce, humans can deliberately change a population's characteristics over generations. This is how all domestic crops and animals were developed from wild ancestors.</w:t>
      </w:r>
    </w:p>
    <w:p>
      <w:pPr>
        <w:spacing w:before="0" w:after="40"/>
      </w:pPr>
    </w:p>
    <w:p>
      <w:pPr>
        <w:spacing w:before="60" w:after="100"/>
      </w:pPr>
      <w:r>
        <w:rPr>
          <w:rFonts w:ascii="Arial" w:cs="Arial" w:eastAsia="Arial" w:hAnsi="Arial"/>
          <w:color w:val="1C1C1C"/>
          <w:sz w:val="22"/>
          <w:szCs w:val="22"/>
        </w:rPr>
        <w:t xml:space="preserve">The principle: identify the characteristic you want to strengthen (yield, disease resistance, temperament, size). Select only individuals with that characteristic for breeding. Over 5 to 20 generations the characteristic becomes consistent. Over 100 to 500 generations, distinct breeds and varieties emerge.</w:t>
      </w:r>
    </w:p>
    <w:p>
      <w:pPr>
        <w:spacing w:before="0" w:after="40"/>
      </w:pPr>
    </w:p>
    <w:p>
      <w:pPr>
        <w:spacing w:before="60" w:after="100"/>
      </w:pPr>
      <w:r>
        <w:rPr>
          <w:rFonts w:ascii="Arial" w:cs="Arial" w:eastAsia="Arial" w:hAnsi="Arial"/>
          <w:color w:val="1C1C1C"/>
          <w:sz w:val="22"/>
          <w:szCs w:val="22"/>
        </w:rPr>
        <w:t xml:space="preserve">The caution: genetic diversity is survival insurance. Never reduce a breeding population below 20 unrelated individuals. Inbreeding depression (health problems from genetic similarity) appears within 3 to 5 generations in small populations.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Ecology and Carrying Capacity</w:t>
      </w:r>
    </w:p>
    <w:p>
      <w:pPr>
        <w:spacing w:before="60" w:after="100"/>
      </w:pPr>
      <w:r>
        <w:rPr>
          <w:rFonts w:ascii="Arial" w:cs="Arial" w:eastAsia="Arial" w:hAnsi="Arial"/>
          <w:color w:val="1C1C1C"/>
          <w:sz w:val="22"/>
          <w:szCs w:val="22"/>
        </w:rPr>
        <w:t xml:space="preserve">Every ecosystem has a carrying capacity — the maximum population of any species it can support indefinitely without degradation. Exceeding carrying capacity causes population collapse. This applies to humans exactly as it applies to every other species.</w:t>
      </w:r>
    </w:p>
    <w:p>
      <w:pPr>
        <w:spacing w:before="0" w:after="40"/>
      </w:pPr>
    </w:p>
    <w:p>
      <w:pPr>
        <w:spacing w:before="60" w:after="100"/>
      </w:pPr>
      <w:r>
        <w:rPr>
          <w:rFonts w:ascii="Arial" w:cs="Arial" w:eastAsia="Arial" w:hAnsi="Arial"/>
          <w:color w:val="1C1C1C"/>
          <w:sz w:val="22"/>
          <w:szCs w:val="22"/>
        </w:rPr>
        <w:t xml:space="preserve">Sustainable yield principle: never harvest more than the ecosystem can regenerate in a given period. For forests: harvest less than annual growth. For fisheries: harvest less than annual reproduction. For soil: return more organic matter than you remove. A community that violates sustainable yield is borrowing from its own future.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Astronomy and Calendar</w:t>
      </w:r>
    </w:p>
    <w:p>
      <w:pPr>
        <w:spacing w:before="60" w:after="100"/>
      </w:pPr>
      <w:r>
        <w:rPr>
          <w:rFonts w:ascii="Arial" w:cs="Arial" w:eastAsia="Arial" w:hAnsi="Arial"/>
          <w:color w:val="1C1C1C"/>
          <w:sz w:val="22"/>
          <w:szCs w:val="22"/>
        </w:rPr>
        <w:t xml:space="preserve">Accurate timekeeping and astronomical observation are foundational to agriculture (planting seasons), navigation (celestial position), and scientific method (systematic observation and recording over time).</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The solar year: 365.2422 days. The extra 0.2422 days requires a leap year adjustment (add one day every 4 years, subtract one every 100 years, add one back every 400 years).</w:t>
      </w:r>
    </w:p>
    <w:p>
      <w:pPr>
        <w:pStyle w:val="ListParagraph"/>
        <w:numPr>
          <w:ilvl w:val="0"/>
          <w:numId w:val="2"/>
        </w:numPr>
        <w:spacing w:before="40" w:after="40"/>
      </w:pPr>
      <w:r>
        <w:rPr>
          <w:rFonts w:ascii="Arial" w:cs="Arial" w:eastAsia="Arial" w:hAnsi="Arial"/>
          <w:color w:val="1C1C1C"/>
          <w:sz w:val="22"/>
          <w:szCs w:val="22"/>
        </w:rPr>
        <w:t xml:space="preserve">The lunar month: 29.53 days. 12 lunar months = 354 days, 11 days short of the solar year. Lunar calendars must be corrected against solar observation.</w:t>
      </w:r>
    </w:p>
    <w:p>
      <w:pPr>
        <w:pStyle w:val="ListParagraph"/>
        <w:numPr>
          <w:ilvl w:val="0"/>
          <w:numId w:val="2"/>
        </w:numPr>
        <w:spacing w:before="40" w:after="40"/>
      </w:pPr>
      <w:r>
        <w:rPr>
          <w:rFonts w:ascii="Arial" w:cs="Arial" w:eastAsia="Arial" w:hAnsi="Arial"/>
          <w:color w:val="1C1C1C"/>
          <w:sz w:val="22"/>
          <w:szCs w:val="22"/>
        </w:rPr>
        <w:t xml:space="preserve">Solstices and equinoxes: trackable with a simple gnomon (vertical stick). The shadow at solar noon is shortest at summer solstice, longest at winter solstice, equal to the stick's length at equinoxes.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Human Psychology</w:t>
      </w:r>
    </w:p>
    <w:p>
      <w:pPr>
        <w:spacing w:before="60" w:after="100"/>
      </w:pPr>
      <w:r>
        <w:rPr>
          <w:rFonts w:ascii="Arial" w:cs="Arial" w:eastAsia="Arial" w:hAnsi="Arial"/>
          <w:color w:val="1C1C1C"/>
          <w:sz w:val="22"/>
          <w:szCs w:val="22"/>
        </w:rPr>
        <w:t xml:space="preserve">Understanding how human minds work under stress, in groups, and in positions of power is as important for rebuilding civilization as any technical knowledge. Communities that ignore psychology rebuild the same patterns that failed.</w:t>
      </w:r>
    </w:p>
    <w:p>
      <w:pPr>
        <w:spacing w:before="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Phenomenon</w:t>
            </w:r>
          </w:p>
        </w:tc>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4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Practical Implication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In-group / out-group bias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Humans automatically favor their own group and distrust outsiders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Design governance systems that protect out-group members by law, not by goodwill</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Authority bias</w:t>
            </w:r>
          </w:p>
        </w:tc>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People follow authority figures even when those figures are wrong</w:t>
            </w:r>
          </w:p>
        </w:tc>
        <w:tc>
          <w:tcPr>
            <w:tcW w:type="dxa" w:w="4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Require evidence and reasoning from leaders. Permit dissent without punishment.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Scarcity thinking</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Fear of shortage causes hoarding and competition even when there is enough</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Transparent accounting of resources. Public communal stores.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Trauma transmission</w:t>
            </w:r>
          </w:p>
        </w:tc>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Traumatized communities transmit trauma to their children for 2–3 generations</w:t>
            </w:r>
          </w:p>
        </w:tc>
        <w:tc>
          <w:tcPr>
            <w:tcW w:type="dxa" w:w="4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Prioritize grief processing and community healing alongside practical rebuilding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Charismatic authority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Charismatic individuals attract disproportionate power during crises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Pre-commit to structural governance before crises occur. Do not wait until you need a strong leader.</w:t>
            </w:r>
          </w:p>
        </w:tc>
      </w:tr>
    </w:tbl>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2026-04-04T00:30:04.389Z</dcterms:created>
  <dcterms:modified xsi:type="dcterms:W3CDTF">2026-04-04T00:30:04.389Z</dcterms:modified>
</cp:coreProperties>
</file>

<file path=docProps/custom.xml><?xml version="1.0" encoding="utf-8"?>
<Properties xmlns="http://schemas.openxmlformats.org/officeDocument/2006/custom-properties" xmlns:vt="http://schemas.openxmlformats.org/officeDocument/2006/docPropsVTypes"/>
</file>